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43D7" w14:textId="695C745B" w:rsidR="00C76D6B" w:rsidRPr="00914F77" w:rsidRDefault="00914F77" w:rsidP="00914F77">
      <w:pPr>
        <w:tabs>
          <w:tab w:val="left" w:pos="2820"/>
        </w:tabs>
        <w:jc w:val="center"/>
        <w:rPr>
          <w:sz w:val="28"/>
          <w:lang w:val="es-ES"/>
        </w:rPr>
      </w:pPr>
      <w:r w:rsidRPr="00914F77">
        <w:rPr>
          <w:rFonts w:ascii="Arial" w:hAnsi="Arial" w:cs="Arial"/>
          <w:b/>
          <w:color w:val="0070C0"/>
          <w:sz w:val="32"/>
          <w:szCs w:val="24"/>
          <w:lang w:val="es-ES"/>
        </w:rPr>
        <w:t>ASESORÍA JURIDICA</w:t>
      </w:r>
    </w:p>
    <w:tbl>
      <w:tblPr>
        <w:tblStyle w:val="Tablaconcuadrcula"/>
        <w:tblW w:w="10028" w:type="dxa"/>
        <w:tblLook w:val="04A0" w:firstRow="1" w:lastRow="0" w:firstColumn="1" w:lastColumn="0" w:noHBand="0" w:noVBand="1"/>
      </w:tblPr>
      <w:tblGrid>
        <w:gridCol w:w="2563"/>
        <w:gridCol w:w="7465"/>
      </w:tblGrid>
      <w:tr w:rsidR="007A5A86" w:rsidRPr="00914F77" w14:paraId="0CAE2B96" w14:textId="77777777" w:rsidTr="00914F77">
        <w:tc>
          <w:tcPr>
            <w:tcW w:w="2563" w:type="dxa"/>
          </w:tcPr>
          <w:p w14:paraId="3F3CE011" w14:textId="77777777" w:rsidR="005E206F" w:rsidRDefault="005E206F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0D2DAAD" w14:textId="77777777" w:rsidR="005E206F" w:rsidRDefault="005E206F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1B87752" w14:textId="77777777" w:rsidR="005E206F" w:rsidRDefault="005E206F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D17C8F8" w14:textId="641C0353" w:rsidR="00F76528" w:rsidRPr="00EF5E4C" w:rsidRDefault="00914F77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¿</w:t>
            </w:r>
            <w:r w:rsidR="007A5A86" w:rsidRPr="00901B0B">
              <w:rPr>
                <w:rFonts w:ascii="Arial" w:hAnsi="Arial" w:cs="Arial"/>
                <w:b/>
                <w:sz w:val="24"/>
                <w:szCs w:val="24"/>
                <w:lang w:val="es-ES"/>
              </w:rPr>
              <w:t>QUÉ ES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?</w:t>
            </w:r>
          </w:p>
        </w:tc>
        <w:tc>
          <w:tcPr>
            <w:tcW w:w="7465" w:type="dxa"/>
          </w:tcPr>
          <w:p w14:paraId="25D8E3F6" w14:textId="1FF4F110" w:rsidR="007A5A86" w:rsidRPr="00901B0B" w:rsidRDefault="6CCE255A" w:rsidP="00914F7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 xml:space="preserve">Es </w:t>
            </w:r>
            <w:r w:rsidR="00914F77"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 xml:space="preserve"> servicio que tiene como objetivo, brindar atención y acompañamiento jurídico integral a los jóvenes del Distrito Capital en distintas áreas legales. Con el fin de que los jóvenes tengan acceso a la información y el alcance al derecho a una vida digna y justa, eliminando cualquier barrera de acceso a sus derechos y eliminando la vulneración de estos, ofreciendo una ruta de celeridad y eficacia en la información. Simultáneamente trabajando para lograr la mayor protección posible de los derechos juveniles.</w:t>
            </w:r>
          </w:p>
        </w:tc>
      </w:tr>
      <w:tr w:rsidR="00EF5E4C" w:rsidRPr="00914F77" w14:paraId="4531ED57" w14:textId="77777777" w:rsidTr="00914F77">
        <w:tc>
          <w:tcPr>
            <w:tcW w:w="2563" w:type="dxa"/>
          </w:tcPr>
          <w:p w14:paraId="0D33C954" w14:textId="6E1D01CA" w:rsidR="00EF5E4C" w:rsidRPr="00901B0B" w:rsidRDefault="00914F77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¿</w:t>
            </w:r>
            <w:r w:rsidR="00EF5E4C">
              <w:rPr>
                <w:rFonts w:ascii="Arial" w:hAnsi="Arial" w:cs="Arial"/>
                <w:b/>
                <w:sz w:val="24"/>
                <w:szCs w:val="24"/>
                <w:lang w:val="es-ES"/>
              </w:rPr>
              <w:t>QUÉ SERVICIO SE PRESTA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?</w:t>
            </w:r>
          </w:p>
        </w:tc>
        <w:tc>
          <w:tcPr>
            <w:tcW w:w="7465" w:type="dxa"/>
          </w:tcPr>
          <w:p w14:paraId="16BF5523" w14:textId="12638861" w:rsidR="00EF5E4C" w:rsidRDefault="6CCE255A" w:rsidP="6CCE255A">
            <w:pPr>
              <w:pStyle w:val="NormalWeb"/>
              <w:rPr>
                <w:rFonts w:ascii="Arial" w:eastAsia="Arial" w:hAnsi="Arial" w:cs="Arial"/>
              </w:rPr>
            </w:pPr>
            <w:r w:rsidRPr="6CCE255A">
              <w:rPr>
                <w:rFonts w:ascii="Arial" w:eastAsia="Arial" w:hAnsi="Arial" w:cs="Arial"/>
              </w:rPr>
              <w:t>Brinda servicios de orientación y atención jurídica a la vez ser una dependencia que ayuda en las actividades que se realicen en las diversas instancias de la Subdirección enmarcadas en la protección y el restablecimiento de los derechos juveniles en Bogotá.</w:t>
            </w:r>
          </w:p>
        </w:tc>
      </w:tr>
      <w:tr w:rsidR="00EF5E4C" w:rsidRPr="00914F77" w14:paraId="681965EB" w14:textId="77777777" w:rsidTr="00914F77">
        <w:tc>
          <w:tcPr>
            <w:tcW w:w="2563" w:type="dxa"/>
          </w:tcPr>
          <w:p w14:paraId="2FAF5E18" w14:textId="71C65524" w:rsidR="00EF5E4C" w:rsidRDefault="00914F77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ÁREAS JURÍDICAS QUE SE TRABAJAN.</w:t>
            </w:r>
          </w:p>
        </w:tc>
        <w:tc>
          <w:tcPr>
            <w:tcW w:w="7465" w:type="dxa"/>
          </w:tcPr>
          <w:p w14:paraId="75B97DBB" w14:textId="5635B51F" w:rsidR="00EF5E4C" w:rsidRDefault="6CCE255A" w:rsidP="6CCE255A">
            <w:pPr>
              <w:pStyle w:val="NormalWeb"/>
              <w:rPr>
                <w:rFonts w:ascii="Arial" w:eastAsia="Arial" w:hAnsi="Arial" w:cs="Arial"/>
              </w:rPr>
            </w:pPr>
            <w:r w:rsidRPr="6CCE255A">
              <w:rPr>
                <w:rFonts w:ascii="Arial" w:eastAsia="Arial" w:hAnsi="Arial" w:cs="Arial"/>
              </w:rPr>
              <w:t>Se trabajan distintas áreas jurídicas (Penal, Civil, de Familia, Labora y Administrativo) dentro del marco de competencias legales que están determinadas para ello.</w:t>
            </w:r>
          </w:p>
        </w:tc>
      </w:tr>
      <w:tr w:rsidR="00EF5E4C" w:rsidRPr="00914F77" w14:paraId="1663AD97" w14:textId="77777777" w:rsidTr="00914F77">
        <w:tc>
          <w:tcPr>
            <w:tcW w:w="2563" w:type="dxa"/>
          </w:tcPr>
          <w:p w14:paraId="1445B925" w14:textId="77777777" w:rsidR="00914F77" w:rsidRDefault="00914F77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0F3B277" w14:textId="719FA339" w:rsidR="00EF5E4C" w:rsidRDefault="00914F77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¿PARA QUIENES?</w:t>
            </w:r>
          </w:p>
        </w:tc>
        <w:tc>
          <w:tcPr>
            <w:tcW w:w="7465" w:type="dxa"/>
          </w:tcPr>
          <w:p w14:paraId="40123AB9" w14:textId="53764991" w:rsidR="00EF5E4C" w:rsidRDefault="6CCE255A" w:rsidP="6CCE255A">
            <w:pPr>
              <w:pStyle w:val="NormalWeb"/>
              <w:rPr>
                <w:rFonts w:ascii="Arial" w:eastAsia="Arial" w:hAnsi="Arial" w:cs="Arial"/>
              </w:rPr>
            </w:pPr>
            <w:r w:rsidRPr="6CCE255A">
              <w:rPr>
                <w:rFonts w:ascii="Arial" w:eastAsia="Arial" w:hAnsi="Arial" w:cs="Arial"/>
              </w:rPr>
              <w:t>Está dirigido a los jóvenes del Distrito Capital. Según el Estatuto de la Ciudadanía Juvenil, es joven toda persona entre lo catorce (14) y los veintiocho (28) años, en proceso de consolidación de su anotomía intelectual, física, moral, económica, social y cultural</w:t>
            </w:r>
          </w:p>
        </w:tc>
      </w:tr>
      <w:tr w:rsidR="00083D26" w:rsidRPr="00914F77" w14:paraId="143F2511" w14:textId="77777777" w:rsidTr="00914F77">
        <w:tc>
          <w:tcPr>
            <w:tcW w:w="2563" w:type="dxa"/>
          </w:tcPr>
          <w:p w14:paraId="51166060" w14:textId="77777777" w:rsidR="00F76528" w:rsidRDefault="00F76528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8415B74" w14:textId="374799DA" w:rsidR="00083D26" w:rsidRDefault="00083D26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REQUISISTOS PARA </w:t>
            </w:r>
            <w:r w:rsidR="00EF5E4C">
              <w:rPr>
                <w:rFonts w:ascii="Arial" w:hAnsi="Arial" w:cs="Arial"/>
                <w:b/>
                <w:sz w:val="24"/>
                <w:szCs w:val="24"/>
                <w:lang w:val="es-ES"/>
              </w:rPr>
              <w:t>PARTICIPAR</w:t>
            </w:r>
          </w:p>
          <w:p w14:paraId="3137B0D0" w14:textId="665439FC" w:rsidR="00F76528" w:rsidRDefault="00F76528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5" w:type="dxa"/>
          </w:tcPr>
          <w:p w14:paraId="2FCE9027" w14:textId="77777777" w:rsidR="00914F77" w:rsidRDefault="00914F77" w:rsidP="6CCE25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086F3AE" w14:textId="5F94BC30" w:rsidR="00083D26" w:rsidRDefault="00914F77" w:rsidP="6CCE25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Tener entre 14 y 28 años y vivir en Bogotá</w:t>
            </w:r>
            <w:r w:rsidR="6CCE255A" w:rsidRPr="6CCE255A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</w:tr>
      <w:tr w:rsidR="00EF5E4C" w:rsidRPr="00914F77" w14:paraId="7D708337" w14:textId="77777777" w:rsidTr="00914F77">
        <w:tc>
          <w:tcPr>
            <w:tcW w:w="2563" w:type="dxa"/>
          </w:tcPr>
          <w:p w14:paraId="2C233463" w14:textId="7B72CDA1" w:rsidR="00EF5E4C" w:rsidRDefault="00EF5E4C" w:rsidP="008B004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BENEFICIOS QUE ADQUIERE EL JOVEN</w:t>
            </w:r>
          </w:p>
        </w:tc>
        <w:tc>
          <w:tcPr>
            <w:tcW w:w="7465" w:type="dxa"/>
          </w:tcPr>
          <w:p w14:paraId="5D9D7A7A" w14:textId="5E65E2C9" w:rsidR="00EF5E4C" w:rsidRDefault="6CCE255A" w:rsidP="6CCE25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Los jóvenes adquieren beneficios de asistencia y acceso a la información, con el fin de que la comunidad juvenil bogotana conozca, ejerza, accione, se empodere y defienda sus derechos fundamentales, que se encuentran en la Constitución Política de Colombia que garantizan los derechos a la dignidad, igualdad material y formal, libre desarrollo de la personalidad, libertad de conciencia y acceso a la administración de justicia, a través de la actuación eficaz de la Subdirección para la Juventud.</w:t>
            </w:r>
          </w:p>
        </w:tc>
      </w:tr>
      <w:tr w:rsidR="00EF5E4C" w:rsidRPr="00914F77" w14:paraId="6DF0DB14" w14:textId="77777777" w:rsidTr="00914F77">
        <w:trPr>
          <w:trHeight w:val="1530"/>
        </w:trPr>
        <w:tc>
          <w:tcPr>
            <w:tcW w:w="2563" w:type="dxa"/>
          </w:tcPr>
          <w:p w14:paraId="2DA31709" w14:textId="2C3325DF" w:rsidR="00EF5E4C" w:rsidRDefault="00914F77" w:rsidP="00EF5E4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¿DÓNDE SE BRINDA LA ATENCIÓN?</w:t>
            </w:r>
          </w:p>
        </w:tc>
        <w:tc>
          <w:tcPr>
            <w:tcW w:w="7465" w:type="dxa"/>
          </w:tcPr>
          <w:p w14:paraId="64B77ADA" w14:textId="15DAD52A" w:rsidR="00EF5E4C" w:rsidRDefault="00914F77" w:rsidP="00914F7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cualquiera de las 15 Casas de J</w:t>
            </w:r>
            <w:r w:rsidR="6CCE255A" w:rsidRPr="6CCE255A">
              <w:rPr>
                <w:rFonts w:ascii="Arial" w:hAnsi="Arial" w:cs="Arial"/>
                <w:sz w:val="24"/>
                <w:szCs w:val="24"/>
                <w:lang w:val="es-ES"/>
              </w:rPr>
              <w:t xml:space="preserve">uventud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 Distrito Joven o agendando cita previa desde cualquier localidad.</w:t>
            </w:r>
          </w:p>
        </w:tc>
      </w:tr>
      <w:tr w:rsidR="00EF5E4C" w:rsidRPr="00914F77" w14:paraId="7192603F" w14:textId="77777777" w:rsidTr="00914F77">
        <w:tc>
          <w:tcPr>
            <w:tcW w:w="2563" w:type="dxa"/>
          </w:tcPr>
          <w:p w14:paraId="2663E980" w14:textId="57BB2B00" w:rsidR="00EF5E4C" w:rsidRDefault="00EF5E4C" w:rsidP="00EF5E4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PASO A PASO QUE DEBE SEGUIR UN JOVEN PARA SACAR LA LIBRETA MILITAR</w:t>
            </w:r>
          </w:p>
        </w:tc>
        <w:tc>
          <w:tcPr>
            <w:tcW w:w="7465" w:type="dxa"/>
          </w:tcPr>
          <w:p w14:paraId="66B7F9D0" w14:textId="16D74BBD" w:rsidR="00EF5E4C" w:rsidRDefault="6CCE255A" w:rsidP="6CCE25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Para poder definir la situación militar el joven de sexo masculino debe:</w:t>
            </w:r>
          </w:p>
          <w:p w14:paraId="435629D9" w14:textId="06097276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Haber cumplido los dieciocho (18) años</w:t>
            </w:r>
          </w:p>
          <w:p w14:paraId="51C12E74" w14:textId="08F4A727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Inscribirse a la página web: Libretamilitar.mil.co</w:t>
            </w:r>
          </w:p>
          <w:p w14:paraId="503DA066" w14:textId="4EA09EE0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Crear un usuario con un usuario electrónico y generar una contraseña.</w:t>
            </w:r>
          </w:p>
          <w:p w14:paraId="6E2AAE04" w14:textId="26911183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Diligenciar toda la información del joven para ser citado por el Ejército Nacional desde la página Web.</w:t>
            </w:r>
          </w:p>
          <w:p w14:paraId="5632A915" w14:textId="6E763325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Expresar si está inmerso en alguna causal de excepción para prestar el Servicio Militar.</w:t>
            </w:r>
          </w:p>
          <w:p w14:paraId="4903F165" w14:textId="39745754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Asistir a la cita generada por la Institución militar, en el Distrito Militar referenciado por la entidad.</w:t>
            </w:r>
          </w:p>
          <w:p w14:paraId="78BF9A1B" w14:textId="694FEFB3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Generar el recibo de liquidación para el pago del documento.</w:t>
            </w:r>
          </w:p>
          <w:p w14:paraId="54429EA8" w14:textId="7DF008EB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Pago del recibo con el monto que el Ejercito da en la liquidación -dicho pago solo se puede realizar en el Banco de Occidente-</w:t>
            </w:r>
          </w:p>
          <w:p w14:paraId="620193DD" w14:textId="401F6E78" w:rsidR="00EF5E4C" w:rsidRDefault="6CCE255A" w:rsidP="6CCE25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Reclamo del documento en el Distrito Militar donde se efectuó el proceso.</w:t>
            </w:r>
          </w:p>
        </w:tc>
      </w:tr>
      <w:tr w:rsidR="00EF5E4C" w:rsidRPr="00914F77" w14:paraId="702443E4" w14:textId="77777777" w:rsidTr="00914F77">
        <w:tc>
          <w:tcPr>
            <w:tcW w:w="2563" w:type="dxa"/>
          </w:tcPr>
          <w:p w14:paraId="4671AD78" w14:textId="20AD7DB9" w:rsidR="00EF5E4C" w:rsidRDefault="00EF5E4C" w:rsidP="00EF5E4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EN QUÉ CONSISTE </w:t>
            </w:r>
            <w:r w:rsidR="006A244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ACOMPAÑAMIE</w:t>
            </w:r>
            <w:r w:rsidR="006A2446">
              <w:rPr>
                <w:rFonts w:ascii="Arial" w:hAnsi="Arial" w:cs="Arial"/>
                <w:b/>
                <w:sz w:val="24"/>
                <w:szCs w:val="24"/>
                <w:lang w:val="es-ES"/>
              </w:rPr>
              <w:t>NTO EN TEMAS DE LIBRETA MILITAR</w:t>
            </w:r>
          </w:p>
          <w:p w14:paraId="0185A1A3" w14:textId="3A4D66E8" w:rsidR="00EF5E4C" w:rsidRDefault="00EF5E4C" w:rsidP="00EF5E4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5" w:type="dxa"/>
          </w:tcPr>
          <w:p w14:paraId="4F422F94" w14:textId="2F401A75" w:rsidR="00EF5E4C" w:rsidRDefault="6CCE255A" w:rsidP="6CCE25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El acompañamiento en materia de libreta militar, se basa en generar una ayuda y explicación acertada para los jóvenes que deseen definir su situación militar; ofreciendo una ruta clara para que los jóvenes conozcan el alcance de sus derechos, explicando de manera detallada las causales de exoneración y la Objeción de Conciencia, para que se pueda aplicar de forma adecuado en el ordenamiento jurídico y militar.</w:t>
            </w:r>
          </w:p>
          <w:p w14:paraId="2CA83F20" w14:textId="13FCF025" w:rsidR="00EF5E4C" w:rsidRDefault="00EF5E4C" w:rsidP="6CCE25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E968975" w14:textId="4C4B953E" w:rsidR="00EF5E4C" w:rsidRDefault="6CCE255A" w:rsidP="6CCE25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Encaminando hacia una información precisa para que la población juvenil no recaiga en errores o desinformación, a la vez se realiza el acompañamiento con el fin de zanjar mitos y miedos que se tienen en este proceso.</w:t>
            </w:r>
          </w:p>
        </w:tc>
      </w:tr>
      <w:tr w:rsidR="007A5A86" w:rsidRPr="00914F77" w14:paraId="7E7B57E0" w14:textId="77777777" w:rsidTr="00914F77">
        <w:tc>
          <w:tcPr>
            <w:tcW w:w="2563" w:type="dxa"/>
          </w:tcPr>
          <w:p w14:paraId="3706C153" w14:textId="77777777" w:rsidR="005E206F" w:rsidRDefault="005E206F" w:rsidP="006A244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0586CAD" w14:textId="622B8527" w:rsidR="007A5A86" w:rsidRPr="00270D3F" w:rsidRDefault="006A2446" w:rsidP="005E206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JÓVENES BENEFICIADOS.</w:t>
            </w:r>
          </w:p>
        </w:tc>
        <w:tc>
          <w:tcPr>
            <w:tcW w:w="7465" w:type="dxa"/>
          </w:tcPr>
          <w:p w14:paraId="1736078B" w14:textId="19335AB5" w:rsidR="005E206F" w:rsidRPr="00EF5E4C" w:rsidRDefault="005E206F" w:rsidP="005E206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 xml:space="preserve">Desde el año 2020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a la fecha </w:t>
            </w: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 xml:space="preserve">se han atendido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cerca de </w:t>
            </w: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dos mil (2000) jóvenes en el marco de atención jurídica, ofreciendo esta ayuda en cualquier materia legal, informando sobre la existencia de sus derechos, cuales son, como ejercerlos, protegerlos y reestablecerlos, obrando como instrumento para su materialización.</w:t>
            </w:r>
          </w:p>
          <w:p w14:paraId="0ECC1200" w14:textId="77777777" w:rsidR="005E206F" w:rsidRPr="00EF5E4C" w:rsidRDefault="005E206F" w:rsidP="005E206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BBB60C0" w14:textId="45DB4DCF" w:rsidR="007A5A86" w:rsidRPr="00AF0297" w:rsidRDefault="005E206F" w:rsidP="005E206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hAnsi="Arial" w:cs="Arial"/>
                <w:sz w:val="24"/>
                <w:szCs w:val="24"/>
                <w:lang w:val="es-ES"/>
              </w:rPr>
              <w:t>Se ha generado una ayuda en los territorios para aquellos jóvenes que han sido reclutados de manera irregular por parte del Ejercito: logrando el restablecimiento de sus derechos de una manera rápida y eficaz</w:t>
            </w:r>
          </w:p>
        </w:tc>
      </w:tr>
      <w:tr w:rsidR="00BC63F1" w:rsidRPr="00914F77" w14:paraId="3E520FA8" w14:textId="77777777" w:rsidTr="00914F77">
        <w:tc>
          <w:tcPr>
            <w:tcW w:w="2563" w:type="dxa"/>
          </w:tcPr>
          <w:p w14:paraId="4E40923D" w14:textId="446AB762" w:rsidR="00BC63F1" w:rsidRDefault="006A2446" w:rsidP="00BC63F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¿CÓMO ACCEDER AL SERVICIO DE ASESORÍA JURÍDICA?</w:t>
            </w:r>
          </w:p>
        </w:tc>
        <w:tc>
          <w:tcPr>
            <w:tcW w:w="7465" w:type="dxa"/>
          </w:tcPr>
          <w:p w14:paraId="75038281" w14:textId="7CC9700A" w:rsidR="00BC63F1" w:rsidRDefault="6CCE255A" w:rsidP="6CCE255A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El joven interesado en acceder a la oferta jurídica que brinda la Subdirección para la Juventud, lo hace de dos (2) maneras: </w:t>
            </w:r>
          </w:p>
          <w:p w14:paraId="17E6EF41" w14:textId="5407DB28" w:rsidR="00BC63F1" w:rsidRDefault="00BC63F1" w:rsidP="6CCE255A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  <w:p w14:paraId="21E34954" w14:textId="44255ACF" w:rsidR="00BC63F1" w:rsidRDefault="6CCE255A" w:rsidP="6CCE255A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1. En el marco de las labores de caracterización realizadas por la Estrategia RETO, la Subdirección para la Juventud llega a la vivienda del joven y ofrece el servicio que brinda el Consultorio Jurídico. </w:t>
            </w:r>
          </w:p>
          <w:p w14:paraId="1E36FB44" w14:textId="5CFA8A11" w:rsidR="00BC63F1" w:rsidRDefault="6CCE255A" w:rsidP="6CCE255A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6CCE255A">
              <w:rPr>
                <w:rFonts w:ascii="Arial" w:eastAsia="Arial" w:hAnsi="Arial" w:cs="Arial"/>
                <w:sz w:val="24"/>
                <w:szCs w:val="24"/>
                <w:lang w:val="es-ES"/>
              </w:rPr>
              <w:t>2. En desarrollo de las estrategias publicitarias adelantadas por la Subdirección para la Juventud, el joven se acerca a la Casa de la Juventud de su Localidad y solicita el servicio que brinda el Consultorio Jurídico con el gestor que se encuentre en esta unidad operativa.</w:t>
            </w:r>
          </w:p>
        </w:tc>
      </w:tr>
      <w:tr w:rsidR="007A5A86" w:rsidRPr="00914F77" w14:paraId="7F8ACB60" w14:textId="77777777" w:rsidTr="00914F77">
        <w:tc>
          <w:tcPr>
            <w:tcW w:w="2563" w:type="dxa"/>
          </w:tcPr>
          <w:p w14:paraId="77BA9A98" w14:textId="6D5AD5DD" w:rsidR="007A5A86" w:rsidRDefault="005E206F" w:rsidP="008B0041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MÁS INFORMACIÓN</w:t>
            </w:r>
          </w:p>
          <w:p w14:paraId="40DF5868" w14:textId="458FAC6A" w:rsidR="00F76528" w:rsidRPr="00270D3F" w:rsidRDefault="00F76528" w:rsidP="008B0041">
            <w:pPr>
              <w:tabs>
                <w:tab w:val="left" w:pos="154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5" w:type="dxa"/>
          </w:tcPr>
          <w:p w14:paraId="581A2F06" w14:textId="38D83B6A" w:rsidR="00C25554" w:rsidRPr="005E206F" w:rsidRDefault="005E206F" w:rsidP="6CCE25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E206F">
              <w:rPr>
                <w:rFonts w:ascii="Arial" w:hAnsi="Arial" w:cs="Arial"/>
                <w:bCs/>
                <w:sz w:val="24"/>
                <w:szCs w:val="24"/>
                <w:lang w:val="es-ES"/>
              </w:rPr>
              <w:t>Se pueden comunicar a través de los gestores de juventud en cada una de las localidades o por medio de las redes sociales de Distrito Joven Bogotá.</w:t>
            </w:r>
          </w:p>
        </w:tc>
      </w:tr>
    </w:tbl>
    <w:p w14:paraId="41F970BB" w14:textId="46CAFA9C" w:rsidR="007A5A86" w:rsidRPr="005E206F" w:rsidRDefault="007A5A86" w:rsidP="005E206F">
      <w:pPr>
        <w:tabs>
          <w:tab w:val="left" w:pos="4905"/>
        </w:tabs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sectPr w:rsidR="007A5A86" w:rsidRPr="005E20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32C6"/>
    <w:multiLevelType w:val="hybridMultilevel"/>
    <w:tmpl w:val="D944A16A"/>
    <w:lvl w:ilvl="0" w:tplc="96304B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1910"/>
    <w:multiLevelType w:val="hybridMultilevel"/>
    <w:tmpl w:val="6786D932"/>
    <w:lvl w:ilvl="0" w:tplc="1332E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C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49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44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C0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01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8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E1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23CC0"/>
    <w:multiLevelType w:val="hybridMultilevel"/>
    <w:tmpl w:val="633418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C7236"/>
    <w:multiLevelType w:val="hybridMultilevel"/>
    <w:tmpl w:val="7D4434F0"/>
    <w:lvl w:ilvl="0" w:tplc="712C1F5C">
      <w:start w:val="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86"/>
    <w:rsid w:val="00083D26"/>
    <w:rsid w:val="000A03BD"/>
    <w:rsid w:val="00181A1C"/>
    <w:rsid w:val="00383D4C"/>
    <w:rsid w:val="003F0852"/>
    <w:rsid w:val="003F4621"/>
    <w:rsid w:val="004C07B7"/>
    <w:rsid w:val="004D71BD"/>
    <w:rsid w:val="00517193"/>
    <w:rsid w:val="005E09D0"/>
    <w:rsid w:val="005E206F"/>
    <w:rsid w:val="006A2446"/>
    <w:rsid w:val="007A5A86"/>
    <w:rsid w:val="00914F77"/>
    <w:rsid w:val="00AF0297"/>
    <w:rsid w:val="00BC63F1"/>
    <w:rsid w:val="00C25554"/>
    <w:rsid w:val="00C72421"/>
    <w:rsid w:val="00E33686"/>
    <w:rsid w:val="00EF5E4C"/>
    <w:rsid w:val="00F76528"/>
    <w:rsid w:val="00F86048"/>
    <w:rsid w:val="0374DCFA"/>
    <w:rsid w:val="04A1EAB0"/>
    <w:rsid w:val="0B66C682"/>
    <w:rsid w:val="0B7FEEDF"/>
    <w:rsid w:val="0D0296E3"/>
    <w:rsid w:val="15E8435E"/>
    <w:rsid w:val="1845498A"/>
    <w:rsid w:val="185E71E7"/>
    <w:rsid w:val="19E119EB"/>
    <w:rsid w:val="1DF35543"/>
    <w:rsid w:val="1ECDB36B"/>
    <w:rsid w:val="206983CC"/>
    <w:rsid w:val="252BBA18"/>
    <w:rsid w:val="255659BA"/>
    <w:rsid w:val="26C78A79"/>
    <w:rsid w:val="29FF2B3B"/>
    <w:rsid w:val="2C6DA8AC"/>
    <w:rsid w:val="2E22A16A"/>
    <w:rsid w:val="2EE3D735"/>
    <w:rsid w:val="30F36D07"/>
    <w:rsid w:val="32024F9A"/>
    <w:rsid w:val="32397049"/>
    <w:rsid w:val="32E96B3D"/>
    <w:rsid w:val="33D540AA"/>
    <w:rsid w:val="361C7878"/>
    <w:rsid w:val="36D5C0BD"/>
    <w:rsid w:val="37B848D9"/>
    <w:rsid w:val="3D450241"/>
    <w:rsid w:val="3FBB6D38"/>
    <w:rsid w:val="40F06874"/>
    <w:rsid w:val="43E6D0ED"/>
    <w:rsid w:val="44280936"/>
    <w:rsid w:val="462AAEBC"/>
    <w:rsid w:val="4661CF6B"/>
    <w:rsid w:val="470D36D8"/>
    <w:rsid w:val="475FA9F8"/>
    <w:rsid w:val="47FD9FCC"/>
    <w:rsid w:val="48A90739"/>
    <w:rsid w:val="48BA4210"/>
    <w:rsid w:val="48FB7A59"/>
    <w:rsid w:val="49624F7E"/>
    <w:rsid w:val="496A3D04"/>
    <w:rsid w:val="4A44D79A"/>
    <w:rsid w:val="4C99F040"/>
    <w:rsid w:val="4E6CE150"/>
    <w:rsid w:val="4F4CCE23"/>
    <w:rsid w:val="51A48212"/>
    <w:rsid w:val="54A50225"/>
    <w:rsid w:val="596476E5"/>
    <w:rsid w:val="5B88091A"/>
    <w:rsid w:val="5EBFA9DC"/>
    <w:rsid w:val="62954072"/>
    <w:rsid w:val="63274314"/>
    <w:rsid w:val="659DAE0B"/>
    <w:rsid w:val="665EE3D6"/>
    <w:rsid w:val="6C0CEF8F"/>
    <w:rsid w:val="6CCE255A"/>
    <w:rsid w:val="6D41EACB"/>
    <w:rsid w:val="6F449051"/>
    <w:rsid w:val="75B3D1D5"/>
    <w:rsid w:val="78849D72"/>
    <w:rsid w:val="7A206DD3"/>
    <w:rsid w:val="7BB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6149"/>
  <w15:chartTrackingRefBased/>
  <w15:docId w15:val="{5214582A-BA88-4F4D-BD73-58047EE4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8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5A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A5A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1A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46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4260</Characters>
  <Application>Microsoft Office Word</Application>
  <DocSecurity>0</DocSecurity>
  <Lines>35</Lines>
  <Paragraphs>9</Paragraphs>
  <ScaleCrop>false</ScaleCrop>
  <Company>HP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BELTRAN</dc:creator>
  <cp:keywords/>
  <dc:description/>
  <cp:lastModifiedBy>SANDRA CARO</cp:lastModifiedBy>
  <cp:revision>7</cp:revision>
  <dcterms:created xsi:type="dcterms:W3CDTF">2022-04-27T21:51:00Z</dcterms:created>
  <dcterms:modified xsi:type="dcterms:W3CDTF">2022-05-18T17:22:00Z</dcterms:modified>
</cp:coreProperties>
</file>